
<file path=[Content_Types].xml><?xml version="1.0" encoding="utf-8"?>
<Types xmlns="http://schemas.openxmlformats.org/package/2006/content-types">
  <Default Extension="png" ContentType="image/png"/>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4"/>
        <w:tblW w:w="0" w:type="auto"/>
        <w:jc w:val="center"/>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autofit"/>
        <w:tblCellMar>
          <w:top w:w="0" w:type="dxa"/>
          <w:left w:w="108" w:type="dxa"/>
          <w:bottom w:w="0" w:type="dxa"/>
          <w:right w:w="108" w:type="dxa"/>
        </w:tblCellMar>
      </w:tblPr>
      <w:tblGrid>
        <w:gridCol w:w="1317"/>
        <w:gridCol w:w="1279"/>
        <w:gridCol w:w="7142"/>
      </w:tblGrid>
      <w:tr w14:paraId="7489B8D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54" w:hRule="atLeast"/>
          <w:jc w:val="center"/>
        </w:trPr>
        <w:tc>
          <w:tcPr>
            <w:tcW w:w="1317" w:type="dxa"/>
            <w:vAlign w:val="top"/>
          </w:tcPr>
          <w:p w14:paraId="3FD31ED9">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rPr>
            </w:pPr>
            <w:r>
              <w:rPr>
                <w:rFonts w:hint="eastAsia" w:ascii="仿宋" w:hAnsi="仿宋" w:eastAsia="仿宋" w:cs="仿宋"/>
                <w:sz w:val="18"/>
                <w:szCs w:val="18"/>
              </w:rPr>
              <w:t xml:space="preserve">  参数性质</w:t>
            </w:r>
          </w:p>
        </w:tc>
        <w:tc>
          <w:tcPr>
            <w:tcW w:w="1279" w:type="dxa"/>
            <w:vAlign w:val="top"/>
          </w:tcPr>
          <w:p w14:paraId="7486CDC5">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序号</w:t>
            </w:r>
          </w:p>
        </w:tc>
        <w:tc>
          <w:tcPr>
            <w:tcW w:w="7142" w:type="dxa"/>
            <w:vAlign w:val="top"/>
          </w:tcPr>
          <w:p w14:paraId="363139F6">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rPr>
            </w:pPr>
            <w:r>
              <w:rPr>
                <w:rFonts w:hint="eastAsia" w:ascii="仿宋" w:hAnsi="仿宋" w:eastAsia="仿宋" w:cs="仿宋"/>
                <w:sz w:val="18"/>
                <w:szCs w:val="18"/>
              </w:rPr>
              <w:t xml:space="preserve"> 技术参数与性能指标</w:t>
            </w:r>
          </w:p>
        </w:tc>
      </w:tr>
      <w:tr w14:paraId="507F98C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34" w:hRule="atLeast"/>
          <w:jc w:val="center"/>
        </w:trPr>
        <w:tc>
          <w:tcPr>
            <w:tcW w:w="1317" w:type="dxa"/>
            <w:vAlign w:val="top"/>
          </w:tcPr>
          <w:p w14:paraId="2AB32B83">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rPr>
            </w:pPr>
          </w:p>
        </w:tc>
        <w:tc>
          <w:tcPr>
            <w:tcW w:w="1279" w:type="dxa"/>
            <w:vAlign w:val="top"/>
          </w:tcPr>
          <w:p w14:paraId="4D1E81ED">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eastAsia="zh-CN"/>
              </w:rPr>
            </w:pPr>
            <w:r>
              <w:rPr>
                <w:rFonts w:hint="eastAsia" w:ascii="仿宋" w:hAnsi="仿宋" w:eastAsia="仿宋" w:cs="仿宋"/>
                <w:sz w:val="18"/>
                <w:szCs w:val="18"/>
                <w:lang w:val="en-US" w:eastAsia="zh-CN"/>
              </w:rPr>
              <w:t>1</w:t>
            </w:r>
          </w:p>
        </w:tc>
        <w:tc>
          <w:tcPr>
            <w:tcW w:w="7142" w:type="dxa"/>
            <w:vAlign w:val="top"/>
          </w:tcPr>
          <w:p w14:paraId="0E57837C">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大米：</w:t>
            </w:r>
          </w:p>
          <w:p w14:paraId="2D7DBF7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包装规格：独立真空包装</w:t>
            </w:r>
          </w:p>
          <w:p w14:paraId="43C37F6F">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重量：5kg/袋</w:t>
            </w:r>
          </w:p>
          <w:p w14:paraId="110268F7">
            <w:pPr>
              <w:pStyle w:val="2"/>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 xml:space="preserve">品种：长粒香大米 东北大米 </w:t>
            </w:r>
          </w:p>
          <w:p w14:paraId="0D46924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质量等级：一级（拒绝分装、散装商品）</w:t>
            </w:r>
          </w:p>
          <w:p w14:paraId="4F3DA268">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保质期：12个月（商品交付时的剩余质保期不低于6个月）</w:t>
            </w:r>
          </w:p>
          <w:p w14:paraId="75C2D2DF">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标志：印红十字标志及“陕西省红十字会”以及“福利彩票公益金资助”字样。</w:t>
            </w:r>
          </w:p>
          <w:p w14:paraId="3434087A">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default" w:ascii="仿宋" w:hAnsi="仿宋" w:eastAsia="仿宋" w:cs="仿宋"/>
                <w:sz w:val="18"/>
                <w:szCs w:val="18"/>
                <w:lang w:val="en-US" w:eastAsia="zh-CN"/>
              </w:rPr>
            </w:pPr>
            <w:r>
              <w:rPr>
                <w:rFonts w:hint="eastAsia" w:ascii="仿宋" w:hAnsi="仿宋" w:eastAsia="仿宋" w:cs="仿宋"/>
                <w:b/>
                <w:bCs/>
                <w:sz w:val="18"/>
                <w:szCs w:val="18"/>
                <w:lang w:val="en-US" w:eastAsia="zh-CN"/>
              </w:rPr>
              <w:t>注：</w:t>
            </w:r>
            <w:r>
              <w:rPr>
                <w:rFonts w:hint="eastAsia" w:ascii="仿宋" w:hAnsi="仿宋" w:eastAsia="仿宋" w:cs="仿宋"/>
                <w:b/>
                <w:sz w:val="18"/>
                <w:szCs w:val="18"/>
              </w:rPr>
              <w:t>供应商需提供包括但不限于产品检测报告等证明材料以佐证技术参数与性能指标符合</w:t>
            </w:r>
            <w:r>
              <w:rPr>
                <w:rFonts w:hint="eastAsia" w:ascii="仿宋" w:hAnsi="仿宋" w:eastAsia="仿宋" w:cs="仿宋"/>
                <w:b/>
                <w:sz w:val="18"/>
                <w:szCs w:val="18"/>
                <w:lang w:val="en-US" w:eastAsia="zh-CN"/>
              </w:rPr>
              <w:t>谈判</w:t>
            </w:r>
            <w:r>
              <w:rPr>
                <w:rFonts w:hint="eastAsia" w:ascii="仿宋" w:hAnsi="仿宋" w:eastAsia="仿宋" w:cs="仿宋"/>
                <w:b/>
                <w:sz w:val="18"/>
                <w:szCs w:val="18"/>
              </w:rPr>
              <w:t>文件要求。</w:t>
            </w:r>
          </w:p>
        </w:tc>
      </w:tr>
      <w:tr w14:paraId="4C84DD8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134" w:hRule="atLeast"/>
          <w:jc w:val="center"/>
        </w:trPr>
        <w:tc>
          <w:tcPr>
            <w:tcW w:w="1317" w:type="dxa"/>
            <w:vAlign w:val="top"/>
          </w:tcPr>
          <w:p w14:paraId="1692D2B5">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p>
        </w:tc>
        <w:tc>
          <w:tcPr>
            <w:tcW w:w="1279" w:type="dxa"/>
            <w:vAlign w:val="top"/>
          </w:tcPr>
          <w:p w14:paraId="3DF5F60F">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eastAsia="zh-CN"/>
              </w:rPr>
            </w:pPr>
            <w:r>
              <w:rPr>
                <w:rFonts w:hint="eastAsia" w:ascii="仿宋" w:hAnsi="仿宋" w:eastAsia="仿宋" w:cs="仿宋"/>
                <w:sz w:val="18"/>
                <w:szCs w:val="18"/>
                <w:lang w:val="en-US" w:eastAsia="zh-CN"/>
              </w:rPr>
              <w:t>2</w:t>
            </w:r>
          </w:p>
        </w:tc>
        <w:tc>
          <w:tcPr>
            <w:tcW w:w="7142" w:type="dxa"/>
            <w:vAlign w:val="top"/>
          </w:tcPr>
          <w:p w14:paraId="3B129869">
            <w:pPr>
              <w:pStyle w:val="2"/>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食用油：</w:t>
            </w:r>
          </w:p>
          <w:p w14:paraId="265C3A84">
            <w:pPr>
              <w:keepNext w:val="0"/>
              <w:keepLines w:val="0"/>
              <w:pageBreakBefore w:val="0"/>
              <w:widowControl/>
              <w:kinsoku/>
              <w:wordWrap/>
              <w:overflowPunct/>
              <w:topLinePunct w:val="0"/>
              <w:autoSpaceDE/>
              <w:autoSpaceDN/>
              <w:bidi w:val="0"/>
              <w:adjustRightInd w:val="0"/>
              <w:snapToGrid w:val="0"/>
              <w:spacing w:line="3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规格：独立包装</w:t>
            </w:r>
          </w:p>
          <w:p w14:paraId="7A1B99ED">
            <w:pPr>
              <w:pStyle w:val="2"/>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品种：菜籽油</w:t>
            </w:r>
          </w:p>
          <w:p w14:paraId="3D73737A">
            <w:pPr>
              <w:pStyle w:val="2"/>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加工工艺：压榨</w:t>
            </w:r>
          </w:p>
          <w:p w14:paraId="50D301EA">
            <w:pPr>
              <w:pStyle w:val="2"/>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包装形式：桶装</w:t>
            </w:r>
          </w:p>
          <w:p w14:paraId="403153A1">
            <w:pPr>
              <w:keepNext w:val="0"/>
              <w:keepLines w:val="0"/>
              <w:pageBreakBefore w:val="0"/>
              <w:widowControl/>
              <w:tabs>
                <w:tab w:val="right" w:pos="5424"/>
              </w:tabs>
              <w:kinsoku/>
              <w:wordWrap/>
              <w:overflowPunct/>
              <w:topLinePunct w:val="0"/>
              <w:autoSpaceDE/>
              <w:autoSpaceDN/>
              <w:bidi w:val="0"/>
              <w:adjustRightInd w:val="0"/>
              <w:snapToGrid w:val="0"/>
              <w:spacing w:line="30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规格内容：5L/桶</w:t>
            </w:r>
            <w:r>
              <w:rPr>
                <w:rFonts w:hint="eastAsia" w:ascii="仿宋" w:hAnsi="仿宋" w:eastAsia="仿宋" w:cs="仿宋"/>
                <w:color w:val="000000"/>
                <w:sz w:val="18"/>
                <w:szCs w:val="18"/>
                <w:lang w:val="en-US" w:eastAsia="zh-CN"/>
              </w:rPr>
              <w:tab/>
            </w:r>
          </w:p>
          <w:p w14:paraId="007B2B58">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质量等级：二级，非转基因</w:t>
            </w:r>
          </w:p>
          <w:p w14:paraId="217D9755">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保质期：18个月（商品交付时的剩余质保期不低于12个月）</w:t>
            </w:r>
          </w:p>
          <w:p w14:paraId="00E2A904">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成品：评定级别按国家标准GB/T 1536-2021规定。</w:t>
            </w:r>
          </w:p>
          <w:p w14:paraId="325EB8D5">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b/>
                <w:bCs/>
                <w:sz w:val="18"/>
                <w:szCs w:val="18"/>
                <w:lang w:val="en-US" w:eastAsia="zh-CN"/>
              </w:rPr>
              <w:t>注：</w:t>
            </w:r>
            <w:r>
              <w:rPr>
                <w:rFonts w:hint="eastAsia" w:ascii="仿宋" w:hAnsi="仿宋" w:eastAsia="仿宋" w:cs="仿宋"/>
                <w:b/>
                <w:sz w:val="18"/>
                <w:szCs w:val="18"/>
              </w:rPr>
              <w:t>供应商需提供包括但不限于产品检测报告等证明材料以佐证技术参数与性能指标符合</w:t>
            </w:r>
            <w:r>
              <w:rPr>
                <w:rFonts w:hint="eastAsia" w:ascii="仿宋" w:hAnsi="仿宋" w:eastAsia="仿宋" w:cs="仿宋"/>
                <w:b/>
                <w:sz w:val="18"/>
                <w:szCs w:val="18"/>
                <w:lang w:val="en-US" w:eastAsia="zh-CN"/>
              </w:rPr>
              <w:t>谈判</w:t>
            </w:r>
            <w:r>
              <w:rPr>
                <w:rFonts w:hint="eastAsia" w:ascii="仿宋" w:hAnsi="仿宋" w:eastAsia="仿宋" w:cs="仿宋"/>
                <w:b/>
                <w:sz w:val="18"/>
                <w:szCs w:val="18"/>
              </w:rPr>
              <w:t>文件要求。</w:t>
            </w:r>
          </w:p>
        </w:tc>
      </w:tr>
      <w:tr w14:paraId="67C6D3F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8" w:hRule="atLeast"/>
          <w:jc w:val="center"/>
        </w:trPr>
        <w:tc>
          <w:tcPr>
            <w:tcW w:w="1317" w:type="dxa"/>
          </w:tcPr>
          <w:p w14:paraId="4F02F01F">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p>
        </w:tc>
        <w:tc>
          <w:tcPr>
            <w:tcW w:w="1279" w:type="dxa"/>
          </w:tcPr>
          <w:p w14:paraId="5A4B104C">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eastAsia="zh-CN"/>
              </w:rPr>
            </w:pPr>
            <w:r>
              <w:rPr>
                <w:rFonts w:hint="eastAsia" w:ascii="仿宋" w:hAnsi="仿宋" w:eastAsia="仿宋" w:cs="仿宋"/>
                <w:sz w:val="18"/>
                <w:szCs w:val="18"/>
                <w:lang w:val="en-US" w:eastAsia="zh-CN"/>
              </w:rPr>
              <w:t>3</w:t>
            </w:r>
          </w:p>
        </w:tc>
        <w:tc>
          <w:tcPr>
            <w:tcW w:w="7142" w:type="dxa"/>
          </w:tcPr>
          <w:p w14:paraId="0A70FF2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春联：</w:t>
            </w:r>
          </w:p>
          <w:p w14:paraId="313D8213">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包装规格：礼盒套装</w:t>
            </w:r>
          </w:p>
          <w:p w14:paraId="129CCBBF">
            <w:pPr>
              <w:pStyle w:val="2"/>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品种：新年对联</w:t>
            </w:r>
          </w:p>
          <w:p w14:paraId="6E8BAF60">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材质：纸质</w:t>
            </w:r>
          </w:p>
          <w:p w14:paraId="3B6BCD3A">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工艺：亮面</w:t>
            </w:r>
          </w:p>
          <w:p w14:paraId="125529F4">
            <w:pPr>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规格：福字1个，横批1张，春联1对，</w:t>
            </w:r>
          </w:p>
          <w:p w14:paraId="31FE50A3">
            <w:pPr>
              <w:pStyle w:val="2"/>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尺寸：</w:t>
            </w:r>
            <w:r>
              <w:rPr>
                <w:rFonts w:hint="eastAsia" w:ascii="仿宋" w:hAnsi="仿宋" w:eastAsia="仿宋" w:cs="仿宋"/>
                <w:color w:val="000000"/>
                <w:kern w:val="0"/>
                <w:sz w:val="18"/>
                <w:szCs w:val="18"/>
              </w:rPr>
              <w:t>福字：</w:t>
            </w:r>
            <w:r>
              <w:rPr>
                <w:rFonts w:hint="eastAsia" w:ascii="仿宋" w:hAnsi="仿宋" w:eastAsia="仿宋" w:cs="仿宋"/>
                <w:color w:val="000000"/>
                <w:kern w:val="0"/>
                <w:sz w:val="18"/>
                <w:szCs w:val="18"/>
                <w:lang w:val="en-US" w:eastAsia="zh-CN"/>
              </w:rPr>
              <w:t>35</w:t>
            </w:r>
            <w:r>
              <w:rPr>
                <w:rFonts w:hint="eastAsia" w:ascii="仿宋" w:hAnsi="仿宋" w:eastAsia="仿宋" w:cs="仿宋"/>
                <w:color w:val="000000"/>
                <w:kern w:val="0"/>
                <w:sz w:val="18"/>
                <w:szCs w:val="18"/>
              </w:rPr>
              <w:t>*</w:t>
            </w:r>
            <w:r>
              <w:rPr>
                <w:rFonts w:hint="eastAsia" w:ascii="仿宋" w:hAnsi="仿宋" w:eastAsia="仿宋" w:cs="仿宋"/>
                <w:color w:val="000000"/>
                <w:kern w:val="0"/>
                <w:sz w:val="18"/>
                <w:szCs w:val="18"/>
                <w:lang w:val="en-US" w:eastAsia="zh-CN"/>
              </w:rPr>
              <w:t>35</w:t>
            </w:r>
            <w:r>
              <w:rPr>
                <w:rFonts w:hint="eastAsia" w:ascii="仿宋" w:hAnsi="仿宋" w:eastAsia="仿宋" w:cs="仿宋"/>
                <w:color w:val="000000"/>
                <w:kern w:val="0"/>
                <w:sz w:val="18"/>
                <w:szCs w:val="18"/>
              </w:rPr>
              <w:t>CM</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横批</w:t>
            </w:r>
            <w:r>
              <w:rPr>
                <w:rFonts w:hint="eastAsia" w:ascii="仿宋" w:hAnsi="仿宋" w:eastAsia="仿宋" w:cs="仿宋"/>
                <w:color w:val="000000"/>
                <w:kern w:val="0"/>
                <w:sz w:val="18"/>
                <w:szCs w:val="18"/>
                <w:lang w:val="en-US" w:eastAsia="zh-CN"/>
              </w:rPr>
              <w:t>:</w:t>
            </w:r>
            <w:r>
              <w:rPr>
                <w:rFonts w:hint="eastAsia" w:ascii="仿宋" w:hAnsi="仿宋" w:eastAsia="仿宋" w:cs="仿宋"/>
                <w:color w:val="000000"/>
                <w:kern w:val="0"/>
                <w:sz w:val="18"/>
                <w:szCs w:val="18"/>
              </w:rPr>
              <w:t>21*45CM</w:t>
            </w:r>
            <w:r>
              <w:rPr>
                <w:rFonts w:hint="eastAsia" w:ascii="仿宋" w:hAnsi="仿宋" w:eastAsia="仿宋" w:cs="仿宋"/>
                <w:color w:val="000000"/>
                <w:kern w:val="0"/>
                <w:sz w:val="18"/>
                <w:szCs w:val="18"/>
                <w:lang w:eastAsia="zh-CN"/>
              </w:rPr>
              <w:t>；</w:t>
            </w:r>
            <w:r>
              <w:rPr>
                <w:rFonts w:hint="eastAsia" w:ascii="仿宋" w:hAnsi="仿宋" w:eastAsia="仿宋" w:cs="仿宋"/>
                <w:color w:val="000000"/>
                <w:kern w:val="0"/>
                <w:sz w:val="18"/>
                <w:szCs w:val="18"/>
              </w:rPr>
              <w:t>春联：120*21CM</w:t>
            </w:r>
          </w:p>
          <w:p w14:paraId="51BB0528">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产品特点：自带背胶</w:t>
            </w:r>
          </w:p>
          <w:p w14:paraId="63B273A9">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b/>
                <w:bCs/>
                <w:sz w:val="18"/>
                <w:szCs w:val="18"/>
                <w:lang w:val="en-US" w:eastAsia="zh-CN"/>
              </w:rPr>
              <w:t>注：</w:t>
            </w:r>
            <w:r>
              <w:rPr>
                <w:rFonts w:hint="eastAsia" w:ascii="仿宋" w:hAnsi="仿宋" w:eastAsia="仿宋" w:cs="仿宋"/>
                <w:b/>
                <w:sz w:val="18"/>
                <w:szCs w:val="18"/>
              </w:rPr>
              <w:t>供应商需提供包括但不限于产品检测报告等证明材料以佐证技术参数与性能指标符合</w:t>
            </w:r>
            <w:r>
              <w:rPr>
                <w:rFonts w:hint="eastAsia" w:ascii="仿宋" w:hAnsi="仿宋" w:eastAsia="仿宋" w:cs="仿宋"/>
                <w:b/>
                <w:sz w:val="18"/>
                <w:szCs w:val="18"/>
                <w:lang w:val="en-US" w:eastAsia="zh-CN"/>
              </w:rPr>
              <w:t>谈判</w:t>
            </w:r>
            <w:r>
              <w:rPr>
                <w:rFonts w:hint="eastAsia" w:ascii="仿宋" w:hAnsi="仿宋" w:eastAsia="仿宋" w:cs="仿宋"/>
                <w:b/>
                <w:sz w:val="18"/>
                <w:szCs w:val="18"/>
              </w:rPr>
              <w:t>文件要求。</w:t>
            </w:r>
          </w:p>
        </w:tc>
      </w:tr>
      <w:tr w14:paraId="228611C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495" w:hRule="atLeast"/>
          <w:jc w:val="center"/>
        </w:trPr>
        <w:tc>
          <w:tcPr>
            <w:tcW w:w="1317" w:type="dxa"/>
          </w:tcPr>
          <w:p w14:paraId="0B466F74">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p>
        </w:tc>
        <w:tc>
          <w:tcPr>
            <w:tcW w:w="1279" w:type="dxa"/>
          </w:tcPr>
          <w:p w14:paraId="27D6E1F2">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eastAsia="zh-CN"/>
              </w:rPr>
            </w:pPr>
            <w:r>
              <w:rPr>
                <w:rFonts w:hint="eastAsia" w:ascii="仿宋" w:hAnsi="仿宋" w:eastAsia="仿宋" w:cs="仿宋"/>
                <w:sz w:val="18"/>
                <w:szCs w:val="18"/>
                <w:lang w:val="en-US" w:eastAsia="zh-CN"/>
              </w:rPr>
              <w:t>4</w:t>
            </w:r>
          </w:p>
        </w:tc>
        <w:tc>
          <w:tcPr>
            <w:tcW w:w="7142" w:type="dxa"/>
          </w:tcPr>
          <w:p w14:paraId="3A513CEA">
            <w:pPr>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棉衣：</w:t>
            </w:r>
          </w:p>
          <w:p w14:paraId="332FDBF3">
            <w:pPr>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包装规格：1件独立包装</w:t>
            </w:r>
          </w:p>
          <w:p w14:paraId="12D9839C">
            <w:pPr>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型号规格：XL、XXL</w:t>
            </w:r>
          </w:p>
          <w:p w14:paraId="5B8532F7">
            <w:pPr>
              <w:pStyle w:val="2"/>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外套颜色：黑色</w:t>
            </w:r>
          </w:p>
          <w:p w14:paraId="1533F748">
            <w:pPr>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sz w:val="18"/>
                <w:szCs w:val="18"/>
                <w:lang w:val="en-US" w:eastAsia="zh-CN"/>
              </w:rPr>
            </w:pPr>
            <w:r>
              <w:rPr>
                <w:rFonts w:hint="eastAsia" w:ascii="仿宋" w:hAnsi="仿宋" w:eastAsia="仿宋" w:cs="仿宋"/>
                <w:color w:val="000000"/>
                <w:sz w:val="18"/>
                <w:szCs w:val="18"/>
                <w:lang w:val="en-US" w:eastAsia="zh-CN"/>
              </w:rPr>
              <w:t>款式：男款长袖可拆卸防风帽、拉链式</w:t>
            </w:r>
          </w:p>
          <w:p w14:paraId="4FEC18E6">
            <w:pPr>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填充物：羽绒棉</w:t>
            </w:r>
          </w:p>
          <w:p w14:paraId="3CE83724">
            <w:pPr>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功能：保暖、防水</w:t>
            </w:r>
          </w:p>
          <w:p w14:paraId="2517BA26">
            <w:pPr>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材料：</w:t>
            </w:r>
            <w:r>
              <w:rPr>
                <w:rFonts w:hint="eastAsia" w:ascii="仿宋" w:hAnsi="仿宋" w:eastAsia="仿宋" w:cs="仿宋"/>
                <w:sz w:val="18"/>
                <w:szCs w:val="18"/>
                <w:highlight w:val="none"/>
                <w:lang w:val="en-US" w:eastAsia="zh-CN"/>
              </w:rPr>
              <w:t>100%聚酯纤维</w:t>
            </w:r>
          </w:p>
          <w:p w14:paraId="5BDB5CF9">
            <w:pPr>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成品：评定标准按GB/T2662-2017《棉服装》规定。</w:t>
            </w:r>
          </w:p>
          <w:p w14:paraId="13739FCD">
            <w:pPr>
              <w:keepNext w:val="0"/>
              <w:keepLines w:val="0"/>
              <w:pageBreakBefore w:val="0"/>
              <w:widowControl/>
              <w:kinsoku/>
              <w:wordWrap/>
              <w:overflowPunct/>
              <w:topLinePunct w:val="0"/>
              <w:autoSpaceDE/>
              <w:autoSpaceDN/>
              <w:bidi w:val="0"/>
              <w:adjustRightInd w:val="0"/>
              <w:snapToGrid w:val="0"/>
              <w:spacing w:line="280" w:lineRule="exact"/>
              <w:textAlignment w:val="auto"/>
              <w:rPr>
                <w:rFonts w:hint="eastAsia" w:ascii="仿宋" w:hAnsi="仿宋" w:eastAsia="仿宋" w:cs="仿宋"/>
                <w:sz w:val="18"/>
                <w:szCs w:val="18"/>
                <w:lang w:val="en-US" w:eastAsia="zh-CN"/>
              </w:rPr>
            </w:pPr>
            <w:r>
              <w:rPr>
                <w:rFonts w:hint="eastAsia" w:ascii="仿宋" w:hAnsi="仿宋" w:eastAsia="仿宋" w:cs="仿宋"/>
                <w:b/>
                <w:bCs/>
                <w:sz w:val="18"/>
                <w:szCs w:val="18"/>
                <w:lang w:val="en-US" w:eastAsia="zh-CN"/>
              </w:rPr>
              <w:t>注：</w:t>
            </w:r>
            <w:r>
              <w:rPr>
                <w:rFonts w:hint="eastAsia" w:ascii="仿宋" w:hAnsi="仿宋" w:eastAsia="仿宋" w:cs="仿宋"/>
                <w:b/>
                <w:sz w:val="18"/>
                <w:szCs w:val="18"/>
              </w:rPr>
              <w:t>供应商需提供包括但不限于产品检测报告等证明材料以佐证技术参数与性能指标符合</w:t>
            </w:r>
            <w:r>
              <w:rPr>
                <w:rFonts w:hint="eastAsia" w:ascii="仿宋" w:hAnsi="仿宋" w:eastAsia="仿宋" w:cs="仿宋"/>
                <w:b/>
                <w:sz w:val="18"/>
                <w:szCs w:val="18"/>
                <w:lang w:val="en-US" w:eastAsia="zh-CN"/>
              </w:rPr>
              <w:t>谈判</w:t>
            </w:r>
            <w:r>
              <w:rPr>
                <w:rFonts w:hint="eastAsia" w:ascii="仿宋" w:hAnsi="仿宋" w:eastAsia="仿宋" w:cs="仿宋"/>
                <w:b/>
                <w:sz w:val="18"/>
                <w:szCs w:val="18"/>
              </w:rPr>
              <w:t>文件要求。</w:t>
            </w:r>
          </w:p>
          <w:p w14:paraId="6AEFADAC">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rPr>
            </w:pPr>
            <w:bookmarkStart w:id="0" w:name="_GoBack"/>
            <w:bookmarkEnd w:id="0"/>
            <w:r>
              <w:rPr>
                <w:rFonts w:hint="eastAsia"/>
                <w:lang w:val="en-US" w:eastAsia="zh-CN"/>
              </w:rPr>
              <w:drawing>
                <wp:anchor distT="0" distB="0" distL="114300" distR="114300" simplePos="0" relativeHeight="251662336" behindDoc="1" locked="0" layoutInCell="1" allowOverlap="1">
                  <wp:simplePos x="0" y="0"/>
                  <wp:positionH relativeFrom="column">
                    <wp:posOffset>156210</wp:posOffset>
                  </wp:positionH>
                  <wp:positionV relativeFrom="paragraph">
                    <wp:posOffset>1905</wp:posOffset>
                  </wp:positionV>
                  <wp:extent cx="1029335" cy="1504315"/>
                  <wp:effectExtent l="0" t="0" r="18415" b="635"/>
                  <wp:wrapNone/>
                  <wp:docPr id="5" name="图片 1" descr="截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截图"/>
                          <pic:cNvPicPr>
                            <a:picLocks noChangeAspect="1"/>
                          </pic:cNvPicPr>
                        </pic:nvPicPr>
                        <pic:blipFill>
                          <a:blip r:embed="rId4"/>
                          <a:stretch>
                            <a:fillRect/>
                          </a:stretch>
                        </pic:blipFill>
                        <pic:spPr>
                          <a:xfrm>
                            <a:off x="0" y="0"/>
                            <a:ext cx="1029335" cy="1504315"/>
                          </a:xfrm>
                          <a:prstGeom prst="rect">
                            <a:avLst/>
                          </a:prstGeom>
                          <a:noFill/>
                          <a:ln>
                            <a:noFill/>
                          </a:ln>
                        </pic:spPr>
                      </pic:pic>
                    </a:graphicData>
                  </a:graphic>
                </wp:anchor>
              </w:drawing>
            </w:r>
          </w:p>
        </w:tc>
      </w:tr>
      <w:tr w14:paraId="193DE922">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4335" w:hRule="atLeast"/>
          <w:jc w:val="center"/>
        </w:trPr>
        <w:tc>
          <w:tcPr>
            <w:tcW w:w="1317" w:type="dxa"/>
          </w:tcPr>
          <w:p w14:paraId="524485F5">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p>
        </w:tc>
        <w:tc>
          <w:tcPr>
            <w:tcW w:w="1279" w:type="dxa"/>
          </w:tcPr>
          <w:p w14:paraId="711F1E7D">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eastAsia="zh-CN"/>
              </w:rPr>
            </w:pPr>
            <w:r>
              <w:rPr>
                <w:rFonts w:hint="eastAsia" w:ascii="仿宋" w:hAnsi="仿宋" w:eastAsia="仿宋" w:cs="仿宋"/>
                <w:sz w:val="18"/>
                <w:szCs w:val="18"/>
                <w:lang w:val="en-US" w:eastAsia="zh-CN"/>
              </w:rPr>
              <w:t>5</w:t>
            </w:r>
          </w:p>
        </w:tc>
        <w:tc>
          <w:tcPr>
            <w:tcW w:w="7142" w:type="dxa"/>
          </w:tcPr>
          <w:p w14:paraId="530F7915">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塑料箱：</w:t>
            </w:r>
          </w:p>
          <w:p w14:paraId="4D4DEA2D">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color w:val="000000"/>
                <w:sz w:val="18"/>
                <w:szCs w:val="18"/>
                <w:lang w:eastAsia="zh-CN"/>
              </w:rPr>
            </w:pPr>
            <w:r>
              <w:rPr>
                <w:rFonts w:hint="eastAsia" w:ascii="仿宋" w:hAnsi="仿宋" w:eastAsia="仿宋" w:cs="仿宋"/>
                <w:color w:val="000000"/>
                <w:sz w:val="18"/>
                <w:szCs w:val="18"/>
                <w:lang w:val="en-US" w:eastAsia="zh-CN"/>
              </w:rPr>
              <w:t>规格</w:t>
            </w:r>
            <w:r>
              <w:rPr>
                <w:rFonts w:hint="eastAsia" w:ascii="仿宋" w:hAnsi="仿宋" w:eastAsia="仿宋" w:cs="仿宋"/>
                <w:color w:val="000000"/>
                <w:sz w:val="18"/>
                <w:szCs w:val="18"/>
              </w:rPr>
              <w:t>容量</w:t>
            </w:r>
            <w:r>
              <w:rPr>
                <w:rFonts w:hint="eastAsia" w:ascii="仿宋" w:hAnsi="仿宋" w:eastAsia="仿宋" w:cs="仿宋"/>
                <w:color w:val="000000"/>
                <w:sz w:val="18"/>
                <w:szCs w:val="18"/>
                <w:lang w:val="en-US" w:eastAsia="zh-CN"/>
              </w:rPr>
              <w:t>：</w:t>
            </w:r>
            <w:r>
              <w:rPr>
                <w:rFonts w:hint="eastAsia" w:ascii="仿宋" w:hAnsi="仿宋" w:eastAsia="仿宋" w:cs="仿宋"/>
                <w:color w:val="000000"/>
                <w:sz w:val="18"/>
                <w:szCs w:val="18"/>
              </w:rPr>
              <w:t>≥</w:t>
            </w:r>
            <w:r>
              <w:rPr>
                <w:rFonts w:hint="eastAsia" w:ascii="仿宋" w:hAnsi="仿宋" w:eastAsia="仿宋" w:cs="仿宋"/>
                <w:color w:val="000000"/>
                <w:sz w:val="18"/>
                <w:szCs w:val="18"/>
                <w:lang w:val="en-US" w:eastAsia="zh-CN"/>
              </w:rPr>
              <w:t>50</w:t>
            </w:r>
            <w:r>
              <w:rPr>
                <w:rFonts w:hint="eastAsia" w:ascii="仿宋" w:hAnsi="仿宋" w:eastAsia="仿宋" w:cs="仿宋"/>
                <w:color w:val="000000"/>
                <w:sz w:val="18"/>
                <w:szCs w:val="18"/>
              </w:rPr>
              <w:t>L</w:t>
            </w:r>
            <w:r>
              <w:rPr>
                <w:rFonts w:hint="eastAsia" w:ascii="仿宋" w:hAnsi="仿宋" w:eastAsia="仿宋" w:cs="仿宋"/>
                <w:color w:val="000000"/>
                <w:sz w:val="18"/>
                <w:szCs w:val="18"/>
                <w:lang w:val="en-US" w:eastAsia="zh-CN"/>
              </w:rPr>
              <w:t xml:space="preserve"> </w:t>
            </w:r>
            <w:r>
              <w:rPr>
                <w:rFonts w:hint="eastAsia" w:ascii="仿宋" w:hAnsi="仿宋" w:eastAsia="仿宋" w:cs="仿宋"/>
                <w:color w:val="000000"/>
                <w:sz w:val="18"/>
                <w:szCs w:val="18"/>
              </w:rPr>
              <w:t>≤</w:t>
            </w:r>
            <w:r>
              <w:rPr>
                <w:rFonts w:hint="eastAsia" w:ascii="仿宋" w:hAnsi="仿宋" w:eastAsia="仿宋" w:cs="仿宋"/>
                <w:color w:val="000000"/>
                <w:sz w:val="18"/>
                <w:szCs w:val="18"/>
                <w:lang w:val="en-US" w:eastAsia="zh-CN"/>
              </w:rPr>
              <w:t>60L</w:t>
            </w:r>
            <w:r>
              <w:rPr>
                <w:rFonts w:hint="eastAsia" w:ascii="仿宋" w:hAnsi="仿宋" w:eastAsia="仿宋" w:cs="仿宋"/>
                <w:color w:val="000000"/>
                <w:sz w:val="18"/>
                <w:szCs w:val="18"/>
                <w:lang w:eastAsia="zh-CN"/>
              </w:rPr>
              <w:t>（</w:t>
            </w:r>
            <w:r>
              <w:rPr>
                <w:rFonts w:hint="eastAsia" w:ascii="仿宋" w:hAnsi="仿宋" w:eastAsia="仿宋" w:cs="仿宋"/>
                <w:color w:val="000000"/>
                <w:sz w:val="18"/>
                <w:szCs w:val="18"/>
                <w:lang w:val="en-US" w:eastAsia="zh-CN"/>
              </w:rPr>
              <w:t>装满全部物资为准</w:t>
            </w:r>
            <w:r>
              <w:rPr>
                <w:rFonts w:hint="eastAsia" w:ascii="仿宋" w:hAnsi="仿宋" w:eastAsia="仿宋" w:cs="仿宋"/>
                <w:color w:val="000000"/>
                <w:sz w:val="18"/>
                <w:szCs w:val="18"/>
                <w:lang w:eastAsia="zh-CN"/>
              </w:rPr>
              <w:t>）</w:t>
            </w:r>
          </w:p>
          <w:p w14:paraId="6B70D9B7">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材质：透明PP材质</w:t>
            </w:r>
          </w:p>
          <w:p w14:paraId="0FE5BAE0">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color w:val="000000"/>
                <w:sz w:val="18"/>
                <w:szCs w:val="18"/>
              </w:rPr>
            </w:pPr>
            <w:r>
              <w:rPr>
                <w:rFonts w:hint="eastAsia" w:ascii="仿宋" w:hAnsi="仿宋" w:eastAsia="仿宋" w:cs="仿宋"/>
                <w:color w:val="000000"/>
                <w:sz w:val="18"/>
                <w:szCs w:val="18"/>
                <w:lang w:val="en-US" w:eastAsia="zh-CN"/>
              </w:rPr>
              <w:t>单箱重量：&gt;1.5</w:t>
            </w:r>
            <w:r>
              <w:rPr>
                <w:rFonts w:hint="eastAsia" w:ascii="仿宋" w:hAnsi="仿宋" w:eastAsia="仿宋" w:cs="仿宋"/>
                <w:color w:val="000000"/>
                <w:sz w:val="18"/>
                <w:szCs w:val="18"/>
              </w:rPr>
              <w:t>kg</w:t>
            </w:r>
          </w:p>
          <w:p w14:paraId="1D27A7F2">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产品特性：高强度抗摔</w:t>
            </w:r>
          </w:p>
          <w:p w14:paraId="07B6EBCC">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质量等级：一级，具有注册商标的商品，独立包装（拒绝分装、散装商品）</w:t>
            </w:r>
          </w:p>
          <w:p w14:paraId="70A3DCEB">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color w:val="000000"/>
                <w:sz w:val="18"/>
                <w:szCs w:val="18"/>
                <w:lang w:val="en-US" w:eastAsia="zh-CN"/>
              </w:rPr>
            </w:pPr>
            <w:r>
              <w:rPr>
                <w:rFonts w:hint="eastAsia" w:ascii="仿宋" w:hAnsi="仿宋" w:eastAsia="仿宋" w:cs="仿宋"/>
                <w:color w:val="000000"/>
                <w:sz w:val="18"/>
                <w:szCs w:val="18"/>
                <w:lang w:val="en-US" w:eastAsia="zh-CN"/>
              </w:rPr>
              <w:t>标志：即时贴，印红十字标志及“红十字博爱送万家”“陕西省红十字会捐赠”和“省福利彩票公益金资助”等字样（A4纸大小）和二维码（10x10cm）。</w:t>
            </w:r>
          </w:p>
          <w:p w14:paraId="065B5CD7">
            <w:pPr>
              <w:keepNext w:val="0"/>
              <w:keepLines w:val="0"/>
              <w:pageBreakBefore w:val="0"/>
              <w:widowControl/>
              <w:kinsoku/>
              <w:wordWrap/>
              <w:overflowPunct/>
              <w:topLinePunct w:val="0"/>
              <w:autoSpaceDE/>
              <w:autoSpaceDN/>
              <w:bidi w:val="0"/>
              <w:adjustRightInd w:val="0"/>
              <w:snapToGrid w:val="0"/>
              <w:spacing w:line="280" w:lineRule="exact"/>
              <w:jc w:val="left"/>
              <w:textAlignment w:val="auto"/>
              <w:rPr>
                <w:rFonts w:hint="eastAsia" w:ascii="仿宋" w:hAnsi="仿宋" w:eastAsia="仿宋" w:cs="仿宋"/>
                <w:sz w:val="18"/>
                <w:szCs w:val="18"/>
              </w:rPr>
            </w:pPr>
            <w:r>
              <w:rPr>
                <w:rFonts w:hint="eastAsia" w:ascii="仿宋" w:hAnsi="仿宋" w:eastAsia="仿宋" w:cs="仿宋"/>
                <w:sz w:val="18"/>
                <w:szCs w:val="18"/>
                <w:lang w:val="en-US" w:eastAsia="zh-CN"/>
              </w:rPr>
              <w:drawing>
                <wp:anchor distT="0" distB="0" distL="114300" distR="114300" simplePos="0" relativeHeight="251660288" behindDoc="1" locked="0" layoutInCell="1" allowOverlap="1">
                  <wp:simplePos x="0" y="0"/>
                  <wp:positionH relativeFrom="column">
                    <wp:posOffset>0</wp:posOffset>
                  </wp:positionH>
                  <wp:positionV relativeFrom="paragraph">
                    <wp:posOffset>434975</wp:posOffset>
                  </wp:positionV>
                  <wp:extent cx="1031875" cy="789940"/>
                  <wp:effectExtent l="0" t="0" r="15875" b="10160"/>
                  <wp:wrapTight wrapText="bothSides">
                    <wp:wrapPolygon>
                      <wp:start x="0" y="0"/>
                      <wp:lineTo x="0" y="20836"/>
                      <wp:lineTo x="21135" y="20836"/>
                      <wp:lineTo x="21135" y="0"/>
                      <wp:lineTo x="0" y="0"/>
                    </wp:wrapPolygon>
                  </wp:wrapTight>
                  <wp:docPr id="4" name="图片 3" descr="QQ截图202407041008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QQ截图20240704100857"/>
                          <pic:cNvPicPr>
                            <a:picLocks noChangeAspect="1"/>
                          </pic:cNvPicPr>
                        </pic:nvPicPr>
                        <pic:blipFill>
                          <a:blip r:embed="rId5"/>
                          <a:stretch>
                            <a:fillRect/>
                          </a:stretch>
                        </pic:blipFill>
                        <pic:spPr>
                          <a:xfrm>
                            <a:off x="0" y="0"/>
                            <a:ext cx="1031875" cy="789940"/>
                          </a:xfrm>
                          <a:prstGeom prst="rect">
                            <a:avLst/>
                          </a:prstGeom>
                          <a:noFill/>
                          <a:ln>
                            <a:noFill/>
                          </a:ln>
                        </pic:spPr>
                      </pic:pic>
                    </a:graphicData>
                  </a:graphic>
                </wp:anchor>
              </w:drawing>
            </w:r>
            <w:r>
              <w:rPr>
                <w:rFonts w:hint="eastAsia" w:ascii="仿宋" w:hAnsi="仿宋" w:eastAsia="仿宋" w:cs="仿宋"/>
                <w:sz w:val="18"/>
                <w:szCs w:val="18"/>
                <w:lang w:val="en-US" w:eastAsia="zh-CN"/>
              </w:rPr>
              <w:drawing>
                <wp:anchor distT="0" distB="0" distL="114300" distR="114300" simplePos="0" relativeHeight="251659264" behindDoc="1" locked="0" layoutInCell="1" allowOverlap="1">
                  <wp:simplePos x="0" y="0"/>
                  <wp:positionH relativeFrom="column">
                    <wp:posOffset>2449195</wp:posOffset>
                  </wp:positionH>
                  <wp:positionV relativeFrom="paragraph">
                    <wp:posOffset>490855</wp:posOffset>
                  </wp:positionV>
                  <wp:extent cx="807085" cy="712470"/>
                  <wp:effectExtent l="0" t="0" r="12065" b="11430"/>
                  <wp:wrapNone/>
                  <wp:docPr id="2" name="图片 2" descr="QQ截图20240704100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QQ截图20240704100131"/>
                          <pic:cNvPicPr>
                            <a:picLocks noChangeAspect="1"/>
                          </pic:cNvPicPr>
                        </pic:nvPicPr>
                        <pic:blipFill>
                          <a:blip r:embed="rId6"/>
                          <a:stretch>
                            <a:fillRect/>
                          </a:stretch>
                        </pic:blipFill>
                        <pic:spPr>
                          <a:xfrm>
                            <a:off x="0" y="0"/>
                            <a:ext cx="807085" cy="712470"/>
                          </a:xfrm>
                          <a:prstGeom prst="rect">
                            <a:avLst/>
                          </a:prstGeom>
                          <a:noFill/>
                          <a:ln>
                            <a:noFill/>
                          </a:ln>
                        </pic:spPr>
                      </pic:pic>
                    </a:graphicData>
                  </a:graphic>
                </wp:anchor>
              </w:drawing>
            </w:r>
            <w:r>
              <w:rPr>
                <w:rFonts w:hint="eastAsia" w:ascii="仿宋" w:hAnsi="仿宋" w:eastAsia="仿宋" w:cs="仿宋"/>
                <w:sz w:val="18"/>
                <w:szCs w:val="18"/>
                <w:lang w:val="en-US" w:eastAsia="zh-CN"/>
              </w:rPr>
              <w:drawing>
                <wp:anchor distT="0" distB="0" distL="114300" distR="114300" simplePos="0" relativeHeight="251661312" behindDoc="1" locked="0" layoutInCell="1" allowOverlap="1">
                  <wp:simplePos x="0" y="0"/>
                  <wp:positionH relativeFrom="column">
                    <wp:posOffset>1407795</wp:posOffset>
                  </wp:positionH>
                  <wp:positionV relativeFrom="paragraph">
                    <wp:posOffset>422275</wp:posOffset>
                  </wp:positionV>
                  <wp:extent cx="833120" cy="833120"/>
                  <wp:effectExtent l="0" t="0" r="5080" b="5080"/>
                  <wp:wrapTight wrapText="bothSides">
                    <wp:wrapPolygon>
                      <wp:start x="0" y="0"/>
                      <wp:lineTo x="0" y="21238"/>
                      <wp:lineTo x="21238" y="21238"/>
                      <wp:lineTo x="21238" y="0"/>
                      <wp:lineTo x="0" y="0"/>
                    </wp:wrapPolygon>
                  </wp:wrapTight>
                  <wp:docPr id="3" name="图片 4" descr="微信图片_202407041003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4" descr="微信图片_20240704100304"/>
                          <pic:cNvPicPr>
                            <a:picLocks noChangeAspect="1"/>
                          </pic:cNvPicPr>
                        </pic:nvPicPr>
                        <pic:blipFill>
                          <a:blip r:embed="rId7"/>
                          <a:stretch>
                            <a:fillRect/>
                          </a:stretch>
                        </pic:blipFill>
                        <pic:spPr>
                          <a:xfrm>
                            <a:off x="0" y="0"/>
                            <a:ext cx="833120" cy="833120"/>
                          </a:xfrm>
                          <a:prstGeom prst="rect">
                            <a:avLst/>
                          </a:prstGeom>
                          <a:noFill/>
                          <a:ln>
                            <a:noFill/>
                          </a:ln>
                        </pic:spPr>
                      </pic:pic>
                    </a:graphicData>
                  </a:graphic>
                </wp:anchor>
              </w:drawing>
            </w:r>
            <w:r>
              <w:rPr>
                <w:rFonts w:hint="eastAsia" w:ascii="仿宋" w:hAnsi="仿宋" w:eastAsia="仿宋" w:cs="仿宋"/>
                <w:b/>
                <w:bCs/>
                <w:sz w:val="18"/>
                <w:szCs w:val="18"/>
                <w:lang w:val="en-US" w:eastAsia="zh-CN"/>
              </w:rPr>
              <w:t>注：</w:t>
            </w:r>
            <w:r>
              <w:rPr>
                <w:rFonts w:hint="eastAsia" w:ascii="仿宋" w:hAnsi="仿宋" w:eastAsia="仿宋" w:cs="仿宋"/>
                <w:b/>
                <w:sz w:val="18"/>
                <w:szCs w:val="18"/>
              </w:rPr>
              <w:t>供应商需提供包括但不限于产品检测报告等证明材料以佐证技术参数与性能指标符合</w:t>
            </w:r>
            <w:r>
              <w:rPr>
                <w:rFonts w:hint="eastAsia" w:ascii="仿宋" w:hAnsi="仿宋" w:eastAsia="仿宋" w:cs="仿宋"/>
                <w:b/>
                <w:sz w:val="18"/>
                <w:szCs w:val="18"/>
                <w:lang w:val="en-US" w:eastAsia="zh-CN"/>
              </w:rPr>
              <w:t>谈判</w:t>
            </w:r>
            <w:r>
              <w:rPr>
                <w:rFonts w:hint="eastAsia" w:ascii="仿宋" w:hAnsi="仿宋" w:eastAsia="仿宋" w:cs="仿宋"/>
                <w:b/>
                <w:sz w:val="18"/>
                <w:szCs w:val="18"/>
              </w:rPr>
              <w:t>文件要求。</w:t>
            </w:r>
          </w:p>
        </w:tc>
      </w:tr>
      <w:tr w14:paraId="0E4F6C7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75" w:hRule="atLeast"/>
          <w:jc w:val="center"/>
        </w:trPr>
        <w:tc>
          <w:tcPr>
            <w:tcW w:w="1317" w:type="dxa"/>
          </w:tcPr>
          <w:p w14:paraId="228DD432">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p>
        </w:tc>
        <w:tc>
          <w:tcPr>
            <w:tcW w:w="1279" w:type="dxa"/>
          </w:tcPr>
          <w:p w14:paraId="0F105C32">
            <w:pPr>
              <w:pStyle w:val="6"/>
              <w:keepNext w:val="0"/>
              <w:keepLines w:val="0"/>
              <w:pageBreakBefore w:val="0"/>
              <w:widowControl/>
              <w:kinsoku/>
              <w:wordWrap/>
              <w:overflowPunct/>
              <w:topLinePunct w:val="0"/>
              <w:autoSpaceDE/>
              <w:autoSpaceDN/>
              <w:bidi w:val="0"/>
              <w:adjustRightInd w:val="0"/>
              <w:snapToGrid w:val="0"/>
              <w:spacing w:line="300" w:lineRule="exact"/>
              <w:textAlignment w:val="auto"/>
              <w:rPr>
                <w:rFonts w:hint="eastAsia" w:ascii="仿宋" w:hAnsi="仿宋" w:eastAsia="仿宋" w:cs="仿宋"/>
                <w:sz w:val="18"/>
                <w:szCs w:val="18"/>
                <w:lang w:val="en-US" w:eastAsia="zh-CN"/>
              </w:rPr>
            </w:pPr>
            <w:r>
              <w:rPr>
                <w:rFonts w:hint="eastAsia" w:ascii="仿宋" w:hAnsi="仿宋" w:eastAsia="仿宋" w:cs="仿宋"/>
                <w:sz w:val="18"/>
                <w:szCs w:val="18"/>
                <w:lang w:val="en-US" w:eastAsia="zh-CN"/>
              </w:rPr>
              <w:t>6</w:t>
            </w:r>
          </w:p>
        </w:tc>
        <w:tc>
          <w:tcPr>
            <w:tcW w:w="7142" w:type="dxa"/>
          </w:tcPr>
          <w:p w14:paraId="55E6ABC8">
            <w:pPr>
              <w:pStyle w:val="6"/>
              <w:keepNext w:val="0"/>
              <w:keepLines w:val="0"/>
              <w:pageBreakBefore w:val="0"/>
              <w:widowControl/>
              <w:kinsoku/>
              <w:wordWrap/>
              <w:overflowPunct/>
              <w:topLinePunct w:val="0"/>
              <w:autoSpaceDE/>
              <w:autoSpaceDN/>
              <w:bidi w:val="0"/>
              <w:adjustRightInd w:val="0"/>
              <w:snapToGrid w:val="0"/>
              <w:spacing w:line="300" w:lineRule="exact"/>
              <w:ind w:firstLine="361" w:firstLineChars="200"/>
              <w:textAlignment w:val="auto"/>
              <w:rPr>
                <w:rFonts w:hint="eastAsia" w:ascii="仿宋" w:hAnsi="仿宋" w:eastAsia="仿宋" w:cs="仿宋"/>
                <w:b/>
                <w:bCs/>
                <w:sz w:val="18"/>
                <w:szCs w:val="18"/>
              </w:rPr>
            </w:pPr>
            <w:r>
              <w:rPr>
                <w:rFonts w:hint="eastAsia" w:ascii="仿宋" w:hAnsi="仿宋" w:eastAsia="仿宋" w:cs="仿宋"/>
                <w:b/>
                <w:bCs/>
                <w:sz w:val="18"/>
                <w:szCs w:val="18"/>
              </w:rPr>
              <w:t>备注：供应商须提供拟投每种产品样品(样品须满足谈判文件要求)</w:t>
            </w:r>
            <w:r>
              <w:rPr>
                <w:rFonts w:hint="eastAsia" w:ascii="仿宋" w:hAnsi="仿宋" w:eastAsia="仿宋" w:cs="仿宋"/>
                <w:b/>
                <w:bCs/>
                <w:sz w:val="18"/>
                <w:szCs w:val="18"/>
                <w:lang w:val="en-US" w:eastAsia="zh-CN"/>
              </w:rPr>
              <w:t>各一份</w:t>
            </w:r>
            <w:r>
              <w:rPr>
                <w:rFonts w:hint="eastAsia" w:ascii="仿宋" w:hAnsi="仿宋" w:eastAsia="仿宋" w:cs="仿宋"/>
                <w:b/>
                <w:bCs/>
                <w:sz w:val="18"/>
                <w:szCs w:val="18"/>
              </w:rPr>
              <w:t>装入塑料箱</w:t>
            </w:r>
            <w:r>
              <w:rPr>
                <w:rFonts w:hint="eastAsia" w:ascii="仿宋" w:hAnsi="仿宋" w:eastAsia="仿宋" w:cs="仿宋"/>
                <w:b/>
                <w:bCs/>
                <w:sz w:val="18"/>
                <w:szCs w:val="18"/>
                <w:lang w:eastAsia="zh-CN"/>
              </w:rPr>
              <w:t>，</w:t>
            </w:r>
            <w:r>
              <w:rPr>
                <w:rFonts w:hint="eastAsia" w:ascii="仿宋" w:hAnsi="仿宋" w:eastAsia="仿宋" w:cs="仿宋"/>
                <w:b/>
                <w:bCs/>
                <w:sz w:val="18"/>
                <w:szCs w:val="18"/>
              </w:rPr>
              <w:t>在开标当日文件递交截至时间前送至</w:t>
            </w:r>
            <w:r>
              <w:rPr>
                <w:rFonts w:hint="eastAsia" w:ascii="仿宋" w:hAnsi="仿宋" w:eastAsia="仿宋" w:cs="仿宋"/>
                <w:b/>
                <w:bCs/>
                <w:sz w:val="18"/>
                <w:szCs w:val="18"/>
                <w:lang w:eastAsia="zh-CN"/>
              </w:rPr>
              <w:t>西安经济技术开发区</w:t>
            </w:r>
            <w:r>
              <w:rPr>
                <w:rFonts w:hint="eastAsia" w:ascii="仿宋" w:hAnsi="仿宋" w:eastAsia="仿宋" w:cs="仿宋"/>
                <w:b/>
                <w:bCs/>
                <w:sz w:val="18"/>
                <w:szCs w:val="18"/>
              </w:rPr>
              <w:t>赛高国际D座</w:t>
            </w:r>
            <w:r>
              <w:rPr>
                <w:rFonts w:hint="eastAsia" w:ascii="仿宋" w:hAnsi="仿宋" w:eastAsia="仿宋" w:cs="仿宋"/>
                <w:b/>
                <w:bCs/>
                <w:sz w:val="18"/>
                <w:szCs w:val="18"/>
                <w:lang w:eastAsia="zh-CN"/>
              </w:rPr>
              <w:t>60</w:t>
            </w:r>
            <w:r>
              <w:rPr>
                <w:rFonts w:hint="eastAsia" w:ascii="仿宋" w:hAnsi="仿宋" w:eastAsia="仿宋" w:cs="仿宋"/>
                <w:b/>
                <w:bCs/>
                <w:sz w:val="18"/>
                <w:szCs w:val="18"/>
                <w:lang w:val="en-US" w:eastAsia="zh-CN"/>
              </w:rPr>
              <w:t>1</w:t>
            </w:r>
            <w:r>
              <w:rPr>
                <w:rFonts w:hint="eastAsia" w:ascii="仿宋" w:hAnsi="仿宋" w:eastAsia="仿宋" w:cs="仿宋"/>
                <w:b/>
                <w:bCs/>
                <w:sz w:val="18"/>
                <w:szCs w:val="18"/>
              </w:rPr>
              <w:t>室。</w:t>
            </w:r>
          </w:p>
          <w:p w14:paraId="0370A96D">
            <w:pPr>
              <w:pStyle w:val="6"/>
              <w:keepNext w:val="0"/>
              <w:keepLines w:val="0"/>
              <w:pageBreakBefore w:val="0"/>
              <w:widowControl/>
              <w:kinsoku/>
              <w:wordWrap/>
              <w:overflowPunct/>
              <w:topLinePunct w:val="0"/>
              <w:autoSpaceDE/>
              <w:autoSpaceDN/>
              <w:bidi w:val="0"/>
              <w:adjustRightInd w:val="0"/>
              <w:snapToGrid w:val="0"/>
              <w:spacing w:line="300" w:lineRule="exact"/>
              <w:ind w:firstLine="361" w:firstLineChars="200"/>
              <w:textAlignment w:val="auto"/>
              <w:rPr>
                <w:rFonts w:hint="eastAsia" w:ascii="仿宋" w:hAnsi="仿宋" w:eastAsia="仿宋" w:cs="仿宋"/>
                <w:b/>
                <w:sz w:val="18"/>
                <w:szCs w:val="18"/>
              </w:rPr>
            </w:pPr>
            <w:r>
              <w:rPr>
                <w:rFonts w:hint="eastAsia" w:ascii="仿宋" w:hAnsi="仿宋" w:eastAsia="仿宋" w:cs="仿宋"/>
                <w:b/>
                <w:bCs/>
                <w:sz w:val="18"/>
                <w:szCs w:val="18"/>
              </w:rPr>
              <w:t>样品提交的相关事宜： ①所提供样品需要密封，在密封包装上注明项目名称、项目编号、供应商名称等内容，并加盖供应商公章。未按要求密封的样品不予接收。 ②采购人、采购代理机构及评审小组不支付所拆验样品的费用，且评审后不负责对样品进行封装。 ③谈判产品需打开后进行评审，无偿供评审专家鉴别商品质量，已启封（食品类）谈判商品样品不退，其余商品在成交结果公告后</w:t>
            </w:r>
            <w:r>
              <w:rPr>
                <w:rFonts w:hint="eastAsia" w:ascii="仿宋" w:hAnsi="仿宋" w:eastAsia="仿宋" w:cs="仿宋"/>
                <w:b/>
                <w:bCs/>
                <w:sz w:val="18"/>
                <w:szCs w:val="18"/>
                <w:lang w:val="en-US" w:eastAsia="zh-CN"/>
              </w:rPr>
              <w:t>3</w:t>
            </w:r>
            <w:r>
              <w:rPr>
                <w:rFonts w:hint="eastAsia" w:ascii="仿宋" w:hAnsi="仿宋" w:eastAsia="仿宋" w:cs="仿宋"/>
                <w:b/>
                <w:bCs/>
                <w:sz w:val="18"/>
                <w:szCs w:val="18"/>
              </w:rPr>
              <w:t>个工作日内通知前往采购代理机构进行领取，成交供应商样品作为验收依据由采购人进行保管</w:t>
            </w:r>
            <w:r>
              <w:rPr>
                <w:rFonts w:hint="eastAsia" w:ascii="仿宋" w:hAnsi="仿宋" w:eastAsia="仿宋" w:cs="仿宋"/>
                <w:b/>
                <w:bCs/>
                <w:sz w:val="18"/>
                <w:szCs w:val="18"/>
                <w:lang w:eastAsia="zh-CN"/>
              </w:rPr>
              <w:t>，</w:t>
            </w:r>
            <w:r>
              <w:rPr>
                <w:rFonts w:hint="eastAsia" w:ascii="仿宋" w:hAnsi="仿宋" w:eastAsia="仿宋" w:cs="仿宋"/>
                <w:b/>
                <w:bCs/>
                <w:sz w:val="18"/>
                <w:szCs w:val="18"/>
              </w:rPr>
              <w:t>不予退还。</w:t>
            </w:r>
          </w:p>
        </w:tc>
      </w:tr>
    </w:tbl>
    <w:p w14:paraId="678E7FBF">
      <w:pPr>
        <w:rPr>
          <w:rFonts w:hint="eastAsia" w:eastAsiaTheme="minorEastAsia"/>
          <w:lang w:val="en-US" w:eastAsia="zh-CN"/>
        </w:rPr>
      </w:pPr>
    </w:p>
    <w:sectPr>
      <w:pgSz w:w="11906" w:h="16838"/>
      <w:pgMar w:top="1134" w:right="1134" w:bottom="1134" w:left="113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5614DFC"/>
    <w:rsid w:val="1A950225"/>
    <w:rsid w:val="2E735AD9"/>
    <w:rsid w:val="35614DFC"/>
    <w:rsid w:val="6DAE32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jc w:val="left"/>
    </w:pPr>
    <w:rPr>
      <w:rFonts w:ascii="Calibri" w:hAnsi="Calibri" w:eastAsia="宋体" w:cs="Times New Roman"/>
      <w:kern w:val="0"/>
      <w:sz w:val="24"/>
      <w:szCs w:val="24"/>
      <w:lang w:val="en-US" w:eastAsia="zh-CN" w:bidi="ar"/>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3"/>
    <w:qFormat/>
    <w:uiPriority w:val="99"/>
    <w:rPr>
      <w:color w:val="993300"/>
      <w:sz w:val="24"/>
    </w:rPr>
  </w:style>
  <w:style w:type="paragraph" w:customStyle="1" w:styleId="3">
    <w:name w:val="列出段落1"/>
    <w:qFormat/>
    <w:uiPriority w:val="0"/>
    <w:pPr>
      <w:widowControl w:val="0"/>
      <w:ind w:firstLine="420" w:firstLineChars="200"/>
      <w:jc w:val="both"/>
    </w:pPr>
    <w:rPr>
      <w:rFonts w:eastAsia="宋体" w:cs="Calibri" w:asciiTheme="minorHAnsi" w:hAnsiTheme="minorHAnsi"/>
      <w:kern w:val="2"/>
      <w:sz w:val="21"/>
      <w:szCs w:val="21"/>
      <w:lang w:val="en-US" w:eastAsia="zh-CN" w:bidi="ar-SA"/>
    </w:rPr>
  </w:style>
  <w:style w:type="paragraph" w:customStyle="1" w:styleId="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image" Target="media/image4.jpe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1122</Words>
  <Characters>1215</Characters>
  <Lines>0</Lines>
  <Paragraphs>0</Paragraphs>
  <TotalTime>0</TotalTime>
  <ScaleCrop>false</ScaleCrop>
  <LinksUpToDate>false</LinksUpToDate>
  <CharactersWithSpaces>1226</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2026-08-25T04:30:00Z</dcterms:created>
  <dc:creator>晓晓芸</dc:creator>
  <cp:lastModifiedBy>晓晓芸</cp:lastModifiedBy>
  <dcterms:modified xsi:type="dcterms:W3CDTF">2026-08-31T03:24:02Z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59079B4B1408401F9438F50C907D6F4C_11</vt:lpwstr>
  </property>
  <property fmtid="{D5CDD505-2E9C-101B-9397-08002B2CF9AE}" pid="4" name="KSOTemplateDocerSaveRecord">
    <vt:lpwstr>eyJoZGlkIjoiMWYwY2I5ZjE3Njc0ZjcwZDBlZjE3ODhiMzNmZTA4NDIiLCJ1c2VySWQiOiIzMDE3NjUwNDIifQ==</vt:lpwstr>
  </property>
</Properties>
</file>